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righ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SYLABUS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orbel" w:cs="Corbel" w:eastAsia="Corbel" w:hAnsi="Corbel"/>
          <w:b w:val="1"/>
          <w:smallCaps w:val="1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5">
      <w:pPr>
        <w:jc w:val="center"/>
        <w:rPr>
          <w:rFonts w:ascii="Corbel" w:cs="Corbel" w:eastAsia="Corbel" w:hAnsi="Corbel"/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i w:val="1"/>
          <w:smallCaps w:val="1"/>
          <w:sz w:val="22"/>
          <w:szCs w:val="22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przedmiocie/module </w:t>
      </w:r>
      <w:r w:rsidDel="00000000" w:rsidR="00000000" w:rsidRPr="00000000">
        <w:rPr>
          <w:rtl w:val="0"/>
        </w:rPr>
      </w:r>
    </w:p>
    <w:tbl>
      <w:tblPr>
        <w:tblStyle w:val="Table1"/>
        <w:tblW w:w="9204.0" w:type="dxa"/>
        <w:jc w:val="left"/>
        <w:tblInd w:w="-142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2597"/>
        <w:gridCol w:w="6607"/>
        <w:tblGridChange w:id="0">
          <w:tblGrid>
            <w:gridCol w:w="2597"/>
            <w:gridCol w:w="66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przedmiotu/ modułu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Estetyka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przedmiotu/ modułu*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B9/JII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(nazwa jednostki prowadzącej kierunek)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kształcenia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studia drugiego stopnia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II</w:t>
            </w:r>
            <w:r w:rsidDel="00000000" w:rsidR="00000000" w:rsidRPr="00000000">
              <w:rPr>
                <w:rtl w:val="0"/>
              </w:rPr>
              <w:t xml:space="preserve"> -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3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przedmiot podstawowy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d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Leszek Pelc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" w:before="28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 Leszek Pelc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28" w:before="28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na Wydziale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284" w:righ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284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1.0" w:type="dxa"/>
        <w:jc w:val="left"/>
        <w:tblInd w:w="-108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1036"/>
        <w:gridCol w:w="874"/>
        <w:gridCol w:w="732"/>
        <w:gridCol w:w="843"/>
        <w:gridCol w:w="752"/>
        <w:gridCol w:w="787"/>
        <w:gridCol w:w="681"/>
        <w:gridCol w:w="905"/>
        <w:gridCol w:w="1122"/>
        <w:gridCol w:w="1329"/>
        <w:tblGridChange w:id="0">
          <w:tblGrid>
            <w:gridCol w:w="1036"/>
            <w:gridCol w:w="874"/>
            <w:gridCol w:w="732"/>
            <w:gridCol w:w="843"/>
            <w:gridCol w:w="752"/>
            <w:gridCol w:w="787"/>
            <w:gridCol w:w="681"/>
            <w:gridCol w:w="905"/>
            <w:gridCol w:w="1122"/>
            <w:gridCol w:w="13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 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</w:tabs>
        <w:spacing w:after="0" w:before="0" w:line="276" w:lineRule="auto"/>
        <w:ind w:left="284" w:right="0" w:firstLine="0"/>
        <w:jc w:val="left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93"/>
        </w:tabs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☐ zajęcia w formie tradycyjnej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18"/>
        </w:tabs>
        <w:spacing w:after="0" w:before="0" w:line="276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/modułu (z toku)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18"/>
        </w:tabs>
        <w:spacing w:after="0" w:before="0" w:line="276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 w 3 semestrze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18"/>
        </w:tabs>
        <w:spacing w:after="0" w:before="0" w:line="276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18"/>
        </w:tabs>
        <w:spacing w:after="0" w:before="0" w:line="276" w:lineRule="auto"/>
        <w:ind w:left="709" w:right="0" w:hanging="425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54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 elementarnej wiedzy z zakresu historii kultury, wiedzy z zakresu  historii muzyki, literatury muzycznej, form muzycznych.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kształcenia , treści Programowe i stosowane metody Dydaktyczne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przedmiotu/modułu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454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53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813"/>
        <w:gridCol w:w="8140"/>
        <w:tblGridChange w:id="0">
          <w:tblGrid>
            <w:gridCol w:w="813"/>
            <w:gridCol w:w="81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54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Przekazanie wiedzy na temat filozoficznej refleksji o muzyce (filozoficzna kategoria piękna) w ujęciu historycznym.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4914"/>
                <w:tab w:val="left" w:leader="none" w:pos="1620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Uzyskanie samoświadomości estetycznej – umiejętności rozpoznania własnych preferencji estetycznych w dziedzinie muzyki.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Pogłębienie wiedzy na temat stylistyki różnych epok w muzyce.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Uzyskanie </w:t>
            </w:r>
            <w:r w:rsidDel="00000000" w:rsidR="00000000" w:rsidRPr="00000000">
              <w:rPr>
                <w:rFonts w:ascii="Corbel" w:cs="Corbel" w:eastAsia="Corbel" w:hAnsi="Corbel"/>
                <w:rtl w:val="0"/>
              </w:rPr>
              <w:t xml:space="preserve">ś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wiadomości różnorodności i odmienności tradycji muzycznych w różnych kulturach świata oraz ich wzajemnego przenikania się.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454"/>
              </w:tabs>
              <w:spacing w:after="40" w:before="4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Uświadomienie wpływu muzyki minionych epok na muzykę czasów współczesnych.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3.2 Efekty kształcenia dla przedmiotu/ modułu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54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1648"/>
        <w:gridCol w:w="5482"/>
        <w:gridCol w:w="1824"/>
        <w:tblGridChange w:id="0">
          <w:tblGrid>
            <w:gridCol w:w="1648"/>
            <w:gridCol w:w="5482"/>
            <w:gridCol w:w="18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 efekt kształcenia)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kształcenia zdefiniowanego dla przedmiotu (modułu)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(KEK)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znajomość stylów muzycznych, związanych z nimi poglądów estetycznych oraz wynikających z nich tradycji wykonawczych.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 i rozumie podstawowe kierunki rozwoju poglądów estetycznych w historii muzyki,  orientuje się w literaturze przedmiotu.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 tworzyć własne, spójne estetycznie koncepcje artystyczne.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 wykorzystywać wiedzę dotyczącą różnorodnych stylów i założeń estetycznych w interpretacji wykonywanych utworów.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logicznie wypowiadać się w formie ustnej i pisemnej na tematy związane z tworzeniem i interpretacją muzyki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samodzielnie analizować i interpretować zebrane informacje.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wypełnia koordynator)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100.0" w:type="dxa"/>
        <w:jc w:val="left"/>
        <w:tblInd w:w="-145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9100"/>
        <w:tblGridChange w:id="0">
          <w:tblGrid>
            <w:gridCol w:w="91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9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Początki muzyki – muzyka kultur pierwotnych.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96" w:right="0" w:firstLine="11.99999999999999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Muzyka różnych kręgów kulturowych- Indie, Indochiny, Bliski Wschód,Afryka 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pStyle w:val="Heading4"/>
              <w:numPr>
                <w:ilvl w:val="3"/>
                <w:numId w:val="1"/>
              </w:numPr>
              <w:spacing w:after="0" w:before="0" w:lineRule="auto"/>
              <w:ind w:left="-48" w:hanging="60.00000000000001"/>
              <w:rPr/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rtl w:val="0"/>
              </w:rPr>
              <w:t xml:space="preserve">Muzyka w  Muzyka w starożytności: Chiny, Egipt,Mezopotamia, Grecja ( Pitagoras,Platon Arystoteles.)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96" w:right="0" w:hanging="11.99999999999999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Średniowiecze w muzyce, teoretycy średniowiecznej myśli o muzyce.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96" w:right="0" w:hanging="11.99999999999999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Rozwój polifonii wokalnej.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84" w:right="0" w:hanging="11.999999999999993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Początki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muzyki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instrumentalnej, rozwój instrumentów muzycznych w epoce średniowiecza i renesansu..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pStyle w:val="Heading4"/>
              <w:numPr>
                <w:ilvl w:val="3"/>
                <w:numId w:val="1"/>
              </w:numPr>
              <w:spacing w:after="0" w:before="0" w:lineRule="auto"/>
              <w:ind w:left="-120" w:firstLine="11.999999999999993"/>
              <w:rPr/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rtl w:val="0"/>
              </w:rPr>
              <w:t xml:space="preserve"> Nowe relacje słowa i muzyki, teoria afektów, figury retoryczne – ”mowa dźwięków”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8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Muzyka improwizowana w renesansie i baroku.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84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Muzyka improwizowana w renesansie i baroku.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pStyle w:val="Heading4"/>
              <w:numPr>
                <w:ilvl w:val="3"/>
                <w:numId w:val="1"/>
              </w:numPr>
              <w:spacing w:after="0" w:before="0" w:lineRule="auto"/>
              <w:ind w:left="-84" w:firstLine="12.000000000000002"/>
              <w:rPr/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rtl w:val="0"/>
              </w:rPr>
              <w:t xml:space="preserve">Myśl o muzyce w XVIII wiecznej Francji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96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Romantyzm w muzyce.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pStyle w:val="Heading4"/>
              <w:numPr>
                <w:ilvl w:val="3"/>
                <w:numId w:val="1"/>
              </w:numPr>
              <w:spacing w:after="0" w:before="0" w:lineRule="auto"/>
              <w:ind w:left="-84" w:firstLine="0"/>
              <w:rPr/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rtl w:val="0"/>
              </w:rPr>
              <w:t xml:space="preserve"> Myśl estetyczna w muzyce XX i XXI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250" w:right="0" w:firstLine="25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Wpływ muzyki minionych epok na współczesną muzykę jazzową i rozrywkową.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954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08" w:right="0" w:hanging="708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-wykład z prezentacją multimedialną,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dyskusja,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kształcenia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954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2211"/>
        <w:gridCol w:w="4688"/>
        <w:gridCol w:w="2055"/>
        <w:tblGridChange w:id="0">
          <w:tblGrid>
            <w:gridCol w:w="2211"/>
            <w:gridCol w:w="4688"/>
            <w:gridCol w:w="20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kształcenia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954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8954"/>
        <w:tblGridChange w:id="0">
          <w:tblGrid>
            <w:gridCol w:w="895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Praca zaliczeniowa w formie testu oraz krótkiej wypowiedzi pisemnej na zadany, związany z muzyka temat.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Oceniana będzie wiedza i umiejętności  z zakresu materiału prezentowanego podczas ćwiczeń oraz znajomość literatury obowiązkowej.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uzyskania zaliczenia (lub przystąpienia do egzaminu) jest uczestniczenie w zajęciach (minimum 50 %).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Skala ocen;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5.0 – wykazuje znajomość każdej z treści kształcenia na poziomie  92%-100% (znakomita wiedza i umiejętności)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4.0 – wykazuje znajomość każdej z treści kształcenia na poziomie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76-83%  (dobry poziom wiedzy i umiejętności,  z pewnymi niedociągnięciami)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3.0 – wykazuje znajomość każdej z treści kształcenia na poziomie 60%-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67%  (zadowalająca wiedza i umiejętności z licznymi błędami)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2.0 – wykazuje znajomość każdej z treści kształcenia poniżej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953.0" w:type="dxa"/>
        <w:jc w:val="left"/>
        <w:tblInd w:w="1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4611"/>
        <w:gridCol w:w="4342"/>
        <w:tblGridChange w:id="0">
          <w:tblGrid>
            <w:gridCol w:w="4611"/>
            <w:gridCol w:w="434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planu z studiów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6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PRZEDMIOTU/ MODUŁU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2.0" w:type="dxa"/>
        <w:jc w:val="left"/>
        <w:tblInd w:w="56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3543"/>
        <w:gridCol w:w="3969"/>
        <w:tblGridChange w:id="0">
          <w:tblGrid>
            <w:gridCol w:w="3543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567.0" w:type="dxa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  <w:tblLayout w:type="fixed"/>
        <w:tblLook w:val="00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Fubini E. Historia estetyki muzycznej, Kraków 2002 </w:t>
              <w:br w:type="textWrapping"/>
              <w:t xml:space="preserve">Dahlhaus C. Estetyka muzyki, Warszawa 2007</w:t>
              <w:br w:type="textWrapping"/>
              <w:t xml:space="preserve">Einstein A. Muzyka w dobie romantyzmu (rozdział poświęcony romantycznej estetyce muzyki)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Harnuncourt N., Muzyka mową dźwięków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252525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Warszawa 1995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Eco U. Historia piękna, Poznań 2009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Eco U. Historia brzydoty, Poznań 2009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Pociej B., Z perspektywy muzyki, Warszawa 2005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−"/>
      <w:lvlJc w:val="left"/>
      <w:pPr>
        <w:ind w:left="0" w:firstLine="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76" w:lineRule="auto"/>
      <w:ind w:left="864" w:right="0" w:hanging="864"/>
      <w:jc w:val="left"/>
    </w:pPr>
    <w:rPr>
      <w:rFonts w:ascii="Times New Roman" w:cs="Times New Roman" w:eastAsia="Times New Roman" w:hAnsi="Times New Roman"/>
      <w:b w:val="1"/>
      <w:i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paragraph" w:styleId="Nagwek4">
    <w:name w:val="heading 4"/>
    <w:basedOn w:val="Domylnie"/>
    <w:next w:val="Tretekstu"/>
    <w:pPr>
      <w:keepNext w:val="1"/>
      <w:widowControl w:val="0"/>
      <w:numPr>
        <w:ilvl w:val="3"/>
        <w:numId w:val="1"/>
      </w:numPr>
      <w:spacing w:after="120" w:before="240"/>
      <w:outlineLvl w:val="3"/>
    </w:pPr>
    <w:rPr>
      <w:rFonts w:ascii="Times New Roman" w:cs="Mangal" w:eastAsia="SimSun;宋体" w:hAnsi="Times New Roman"/>
      <w:b w:val="1"/>
      <w:bCs w:val="1"/>
      <w:i w:val="1"/>
      <w:iCs w:val="1"/>
      <w:sz w:val="24"/>
      <w:szCs w:val="24"/>
      <w:lang w:bidi="hi-IN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Domylnie" w:customStyle="1">
    <w:name w:val="Domyślnie"/>
    <w:pPr>
      <w:suppressAutoHyphens w:val="1"/>
      <w:spacing w:after="200" w:line="276" w:lineRule="auto"/>
    </w:pPr>
    <w:rPr>
      <w:rFonts w:ascii="Calibri" w:cs="Times New Roman" w:eastAsia="Calibri" w:hAnsi="Calibri"/>
      <w:sz w:val="22"/>
      <w:szCs w:val="22"/>
      <w:lang w:eastAsia="en-US"/>
    </w:rPr>
  </w:style>
  <w:style w:type="character" w:styleId="TekstpodstawowyZnak" w:customStyle="1">
    <w:name w:val="Tekst podstawowy Znak"/>
    <w:basedOn w:val="Domylnaczcionkaakapitu"/>
    <w:rPr>
      <w:rFonts w:ascii="Calibri" w:cs="Times New Roman" w:eastAsia="Calibri" w:hAnsi="Calibri"/>
    </w:rPr>
  </w:style>
  <w:style w:type="character" w:styleId="ListLabel1" w:customStyle="1">
    <w:name w:val="ListLabel 1"/>
    <w:rPr>
      <w:rFonts w:cs="OpenSymbol"/>
    </w:rPr>
  </w:style>
  <w:style w:type="paragraph" w:styleId="Nagwek">
    <w:name w:val="header"/>
    <w:basedOn w:val="Domylnie"/>
    <w:next w:val="Tretekstu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retekstu" w:customStyle="1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 w:val="1"/>
      <w:spacing w:after="120" w:before="120"/>
    </w:pPr>
    <w:rPr>
      <w:rFonts w:cs="Mangal"/>
      <w:i w:val="1"/>
      <w:iCs w:val="1"/>
      <w:sz w:val="24"/>
      <w:szCs w:val="24"/>
    </w:rPr>
  </w:style>
  <w:style w:type="paragraph" w:styleId="Indeks" w:customStyle="1">
    <w:name w:val="Indeks"/>
    <w:basedOn w:val="Domylnie"/>
    <w:pPr>
      <w:suppressLineNumbers w:val="1"/>
    </w:pPr>
    <w:rPr>
      <w:rFonts w:cs="Mangal"/>
    </w:rPr>
  </w:style>
  <w:style w:type="paragraph" w:styleId="Bezodstpw">
    <w:name w:val="No Spacing"/>
    <w:pPr>
      <w:suppressAutoHyphens w:val="1"/>
      <w:spacing w:line="100" w:lineRule="atLeast"/>
    </w:pPr>
    <w:rPr>
      <w:rFonts w:ascii="Calibri" w:cs="Times New Roman" w:eastAsia="Calibri" w:hAnsi="Calibri"/>
      <w:sz w:val="22"/>
      <w:szCs w:val="22"/>
      <w:lang w:eastAsia="en-US"/>
    </w:rPr>
  </w:style>
  <w:style w:type="paragraph" w:styleId="Akapitzlist">
    <w:name w:val="List Paragraph"/>
    <w:basedOn w:val="Domylnie"/>
    <w:pPr>
      <w:ind w:left="720"/>
      <w:contextualSpacing w:val="1"/>
    </w:pPr>
  </w:style>
  <w:style w:type="paragraph" w:styleId="Punktygwne" w:customStyle="1">
    <w:name w:val="Punkty główne"/>
    <w:basedOn w:val="Domylnie"/>
    <w:pPr>
      <w:spacing w:after="60" w:before="240" w:line="100" w:lineRule="atLeast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retekstu"/>
    <w:pPr>
      <w:tabs>
        <w:tab w:val="left" w:pos="-5643"/>
      </w:tabs>
      <w:spacing w:after="40" w:before="40" w:line="100" w:lineRule="atLeast"/>
      <w:jc w:val="both"/>
    </w:pPr>
    <w:rPr>
      <w:rFonts w:ascii="Times New Roman" w:eastAsia="Times New Roman" w:hAnsi="Times New Roman"/>
      <w:sz w:val="20"/>
      <w:szCs w:val="20"/>
      <w:lang w:eastAsia="pl-PL" w:val="en-US"/>
    </w:rPr>
  </w:style>
  <w:style w:type="paragraph" w:styleId="Odpowiedzi" w:customStyle="1">
    <w:name w:val="Odpowiedzi"/>
    <w:basedOn w:val="Domylnie"/>
    <w:pPr>
      <w:spacing w:after="40" w:before="40" w:line="100" w:lineRule="atLeast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retekstu"/>
    <w:pPr>
      <w:tabs>
        <w:tab w:val="left" w:pos="-5454"/>
      </w:tabs>
      <w:spacing w:after="0" w:line="100" w:lineRule="atLeast"/>
      <w:ind w:left="360"/>
      <w:jc w:val="both"/>
    </w:pPr>
    <w:rPr>
      <w:rFonts w:ascii="Times New Roman" w:eastAsia="Times New Roman" w:hAnsi="Times New Roman"/>
      <w:b w:val="1"/>
      <w:sz w:val="20"/>
      <w:szCs w:val="20"/>
      <w:lang w:eastAsia="pl-PL" w:val="en-US"/>
    </w:rPr>
  </w:style>
  <w:style w:type="paragraph" w:styleId="Cele" w:customStyle="1">
    <w:name w:val="Cele"/>
    <w:basedOn w:val="Tretekstu"/>
    <w:pPr>
      <w:tabs>
        <w:tab w:val="left" w:pos="-4914"/>
        <w:tab w:val="left" w:pos="1620"/>
      </w:tabs>
      <w:spacing w:after="0" w:before="12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 w:val="en-US"/>
    </w:rPr>
  </w:style>
  <w:style w:type="paragraph" w:styleId="Nagwkitablic" w:customStyle="1">
    <w:name w:val="Nagłówki tablic"/>
    <w:basedOn w:val="Tretekstu"/>
    <w:rPr>
      <w:rFonts w:ascii="Times New Roman" w:hAnsi="Times New Roman"/>
      <w:sz w:val="24"/>
      <w:lang w:val="en-US"/>
    </w:rPr>
  </w:style>
  <w:style w:type="paragraph" w:styleId="centralniewrubryce" w:customStyle="1">
    <w:name w:val="centralnie w rubryce"/>
    <w:basedOn w:val="Domylnie"/>
    <w:pPr>
      <w:tabs>
        <w:tab w:val="left" w:pos="-5814"/>
      </w:tabs>
      <w:spacing w:after="40" w:before="40" w:line="100" w:lineRule="atLeast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xP7RVEIU5Hn98HHN+AXNttia6w==">CgMxLjA4AHIhMWc2cExibTVJWEdwdjV4OGtRVmF4eTVXME84dlAyUVVW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2020-10-02T09:42:00Z</dcterms:created>
  <dc:creator>Użytkownik systemu Windows</dc:creator>
</cp:coreProperties>
</file>